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1E" w:rsidRDefault="0012031E" w:rsidP="00E0751D">
      <w:pPr>
        <w:spacing w:after="0" w:line="240" w:lineRule="auto"/>
      </w:pPr>
    </w:p>
    <w:p w:rsidR="0012031E" w:rsidRDefault="0012031E" w:rsidP="00E0751D">
      <w:pPr>
        <w:spacing w:after="0" w:line="240" w:lineRule="auto"/>
      </w:pPr>
    </w:p>
    <w:p w:rsidR="00E0751D" w:rsidRPr="0012031E" w:rsidRDefault="00E0751D" w:rsidP="0012031E">
      <w:pPr>
        <w:spacing w:after="0" w:line="240" w:lineRule="auto"/>
        <w:jc w:val="center"/>
        <w:rPr>
          <w:rStyle w:val="Hipervnculo"/>
          <w:rFonts w:ascii="Calibri" w:eastAsia="Calibri" w:hAnsi="Calibri" w:cs="Calibri"/>
          <w:b/>
          <w:sz w:val="28"/>
          <w:szCs w:val="28"/>
        </w:rPr>
      </w:pPr>
      <w:r w:rsidRPr="0012031E">
        <w:rPr>
          <w:rStyle w:val="Hipervnculo"/>
          <w:rFonts w:ascii="Calibri" w:eastAsia="Calibri" w:hAnsi="Calibri" w:cs="Calibri"/>
          <w:b/>
          <w:sz w:val="28"/>
          <w:szCs w:val="28"/>
        </w:rPr>
        <w:t>NOTAS DE DI</w:t>
      </w:r>
      <w:r w:rsidR="00842150">
        <w:rPr>
          <w:rStyle w:val="Hipervnculo"/>
          <w:rFonts w:ascii="Calibri" w:eastAsia="Calibri" w:hAnsi="Calibri" w:cs="Calibri"/>
          <w:b/>
          <w:sz w:val="28"/>
          <w:szCs w:val="28"/>
        </w:rPr>
        <w:t>S</w:t>
      </w:r>
      <w:r w:rsidRPr="0012031E">
        <w:rPr>
          <w:rStyle w:val="Hipervnculo"/>
          <w:rFonts w:ascii="Calibri" w:eastAsia="Calibri" w:hAnsi="Calibri" w:cs="Calibri"/>
          <w:b/>
          <w:sz w:val="28"/>
          <w:szCs w:val="28"/>
        </w:rPr>
        <w:t>CIPLINA FINANCIERA</w:t>
      </w:r>
    </w:p>
    <w:p w:rsidR="00E0751D" w:rsidRDefault="00E0751D" w:rsidP="00E0751D">
      <w:pPr>
        <w:spacing w:after="0" w:line="240" w:lineRule="auto"/>
      </w:pPr>
    </w:p>
    <w:p w:rsidR="0012031E" w:rsidRDefault="0012031E" w:rsidP="00E0751D">
      <w:pPr>
        <w:spacing w:after="0" w:line="240" w:lineRule="auto"/>
      </w:pPr>
    </w:p>
    <w:p w:rsidR="00E0751D" w:rsidRPr="00E0751D" w:rsidRDefault="00E0751D" w:rsidP="00E0751D">
      <w:pPr>
        <w:spacing w:after="0" w:line="240" w:lineRule="auto"/>
        <w:rPr>
          <w:b/>
        </w:rPr>
      </w:pPr>
      <w:r w:rsidRPr="00E0751D">
        <w:rPr>
          <w:b/>
        </w:rPr>
        <w:t>1. Balance Presupuestario de Recursos Disponibles Negativo</w:t>
      </w:r>
    </w:p>
    <w:p w:rsidR="00E0751D" w:rsidRDefault="00E0751D" w:rsidP="00E0751D">
      <w:pPr>
        <w:spacing w:after="0" w:line="240" w:lineRule="auto"/>
      </w:pPr>
      <w:r>
        <w:t>Se informará:</w:t>
      </w:r>
    </w:p>
    <w:p w:rsidR="00E0751D" w:rsidRDefault="00E0751D" w:rsidP="0012031E">
      <w:pPr>
        <w:spacing w:after="0" w:line="240" w:lineRule="auto"/>
        <w:jc w:val="both"/>
      </w:pPr>
      <w:r>
        <w:t>a) Acciones para recuperar el Balance Presupuestario de Recursos Disponibles Sostenible</w:t>
      </w:r>
      <w:r w:rsidR="0012031E">
        <w:t>.</w:t>
      </w:r>
    </w:p>
    <w:p w:rsidR="00AF5CAD" w:rsidRPr="00AF5CAD" w:rsidRDefault="00AF5CAD" w:rsidP="00E0751D">
      <w:pPr>
        <w:spacing w:after="0" w:line="240" w:lineRule="auto"/>
      </w:pPr>
    </w:p>
    <w:p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rsidR="00AF5CAD" w:rsidRPr="00AF5CAD" w:rsidRDefault="00AF5CAD" w:rsidP="00E0751D">
      <w:pPr>
        <w:spacing w:after="0" w:line="240" w:lineRule="auto"/>
        <w:rPr>
          <w:i/>
        </w:rPr>
      </w:pPr>
      <w:r>
        <w:rPr>
          <w:noProof/>
          <w:lang w:eastAsia="es-MX"/>
        </w:rPr>
        <w:drawing>
          <wp:inline distT="0" distB="0" distL="0" distR="0">
            <wp:extent cx="3900713" cy="3533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06977" cy="3539450"/>
                    </a:xfrm>
                    <a:prstGeom prst="rect">
                      <a:avLst/>
                    </a:prstGeom>
                  </pic:spPr>
                </pic:pic>
              </a:graphicData>
            </a:graphic>
          </wp:inline>
        </w:drawing>
      </w:r>
    </w:p>
    <w:p w:rsidR="00E0751D" w:rsidRDefault="00AF5CAD" w:rsidP="00E0751D">
      <w:pPr>
        <w:spacing w:after="0" w:line="240" w:lineRule="auto"/>
      </w:pPr>
      <w:r>
        <w:rPr>
          <w:noProof/>
          <w:lang w:eastAsia="es-MX"/>
        </w:rPr>
        <w:drawing>
          <wp:inline distT="0" distB="0" distL="0" distR="0">
            <wp:extent cx="3980995" cy="17049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90703" cy="1709133"/>
                    </a:xfrm>
                    <a:prstGeom prst="rect">
                      <a:avLst/>
                    </a:prstGeom>
                  </pic:spPr>
                </pic:pic>
              </a:graphicData>
            </a:graphic>
          </wp:inline>
        </w:drawing>
      </w:r>
    </w:p>
    <w:p w:rsidR="00AF5CAD" w:rsidRDefault="00AF5CAD" w:rsidP="00E0751D">
      <w:pPr>
        <w:spacing w:after="0" w:line="240" w:lineRule="auto"/>
      </w:pPr>
    </w:p>
    <w:p w:rsidR="00F413A2" w:rsidRPr="007370EC" w:rsidRDefault="00622EB9" w:rsidP="00F413A2">
      <w:pPr>
        <w:spacing w:after="0" w:line="240" w:lineRule="auto"/>
        <w:jc w:val="both"/>
        <w:rPr>
          <w:color w:val="2F5496" w:themeColor="accent1" w:themeShade="BF"/>
        </w:rPr>
      </w:pPr>
      <w:r>
        <w:rPr>
          <w:color w:val="2F5496" w:themeColor="accent1" w:themeShade="BF"/>
        </w:rPr>
        <w:t>E</w:t>
      </w:r>
      <w:r w:rsidR="007370EC" w:rsidRPr="007370EC">
        <w:rPr>
          <w:color w:val="2F5496" w:themeColor="accent1" w:themeShade="BF"/>
        </w:rPr>
        <w:t xml:space="preserve">l municipio de San Felipe, </w:t>
      </w:r>
      <w:r w:rsidR="00F413A2" w:rsidRPr="007370EC">
        <w:rPr>
          <w:color w:val="2F5496" w:themeColor="accent1" w:themeShade="BF"/>
        </w:rPr>
        <w:t xml:space="preserve">mantendrá una política financiera de equilibrio en el balance presupuestario entre el ingreso y el gasto, estableciendo dos criterios, el primero relativo a lograr la eficiencia operativa mediante la contención del gasto público, principalmente el gasto de servicios personales y los gastos de operación, así como tampoco se prevé solicitar deuda, préstamos o adelantos de participaciones, como parte de la estrategia financiera para hacer frente a los planes y programas operativos de las dependencias, por el contrario, se proyecta la operación con mayor eficiencia en el gasto público, así </w:t>
      </w:r>
      <w:r w:rsidR="00F413A2" w:rsidRPr="007370EC">
        <w:rPr>
          <w:color w:val="2F5496" w:themeColor="accent1" w:themeShade="BF"/>
        </w:rPr>
        <w:lastRenderedPageBreak/>
        <w:t>como la reorganización de la estructura interna mediante la unificación de las actividades análogas.</w:t>
      </w:r>
      <w:r w:rsidR="00811FDB" w:rsidRPr="007370EC">
        <w:rPr>
          <w:color w:val="2F5496" w:themeColor="accent1" w:themeShade="BF"/>
        </w:rPr>
        <w:t xml:space="preserve"> Además se llevará un monitoreo continuo en la evolución de los ingresos y gastos para garantizar recursos destinados a la operatividad de las dependencias.</w:t>
      </w:r>
    </w:p>
    <w:p w:rsidR="00AF5CAD" w:rsidRPr="00796C25" w:rsidRDefault="007370EC" w:rsidP="00796C25">
      <w:pPr>
        <w:spacing w:after="0" w:line="240" w:lineRule="auto"/>
        <w:jc w:val="both"/>
        <w:rPr>
          <w:color w:val="2F5496" w:themeColor="accent1" w:themeShade="BF"/>
        </w:rPr>
      </w:pPr>
      <w:r w:rsidRPr="00796C25">
        <w:rPr>
          <w:color w:val="2F5496" w:themeColor="accent1" w:themeShade="BF"/>
        </w:rPr>
        <w:t>Actualmente en la proyección de ingresos y gastos, no se prevén ingresos derivados de financiamiento proveniente de la contratación de deuda pública, préstamos o adelantos de participaciones.</w:t>
      </w:r>
    </w:p>
    <w:p w:rsidR="007370EC" w:rsidRDefault="007370EC" w:rsidP="00E0751D">
      <w:pPr>
        <w:spacing w:after="0" w:line="240" w:lineRule="auto"/>
      </w:pPr>
    </w:p>
    <w:p w:rsidR="00E0751D" w:rsidRPr="00E0751D" w:rsidRDefault="00E0751D" w:rsidP="00E0751D">
      <w:pPr>
        <w:spacing w:after="0" w:line="240" w:lineRule="auto"/>
        <w:rPr>
          <w:b/>
        </w:rPr>
      </w:pPr>
      <w:r w:rsidRPr="00E0751D">
        <w:rPr>
          <w:b/>
        </w:rPr>
        <w:t>2. Aumento o creación de nuevo Gasto</w:t>
      </w:r>
    </w:p>
    <w:p w:rsidR="00E0751D" w:rsidRDefault="00E0751D" w:rsidP="00E0751D">
      <w:pPr>
        <w:spacing w:after="0" w:line="240" w:lineRule="auto"/>
      </w:pPr>
      <w:r>
        <w:t>Se informará:</w:t>
      </w:r>
    </w:p>
    <w:p w:rsidR="00E0751D" w:rsidRDefault="00E0751D" w:rsidP="0012031E">
      <w:pPr>
        <w:spacing w:after="0" w:line="240" w:lineRule="auto"/>
        <w:jc w:val="both"/>
      </w:pPr>
      <w:r>
        <w:t>a) Fuente de Ingresos del aumento o creación del Gasto no Etiquetado</w:t>
      </w:r>
      <w:r w:rsidR="0012031E">
        <w:t>.</w:t>
      </w:r>
    </w:p>
    <w:p w:rsidR="00E0751D" w:rsidRDefault="00E0751D" w:rsidP="0012031E">
      <w:pPr>
        <w:spacing w:after="0" w:line="240" w:lineRule="auto"/>
        <w:jc w:val="both"/>
      </w:pPr>
      <w:r>
        <w:t>b) Fuente de Ingresos del aumento o creación del Gasto Etiquetado</w:t>
      </w:r>
      <w:r w:rsidR="0012031E">
        <w:t>.</w:t>
      </w:r>
    </w:p>
    <w:p w:rsidR="00E0751D" w:rsidRDefault="00E0751D" w:rsidP="00E0751D">
      <w:pPr>
        <w:spacing w:after="0" w:line="240" w:lineRule="auto"/>
      </w:pPr>
    </w:p>
    <w:p w:rsidR="00AF5CAD" w:rsidRDefault="00AF5CAD" w:rsidP="00E0751D">
      <w:pPr>
        <w:spacing w:after="0" w:line="240" w:lineRule="auto"/>
      </w:pPr>
      <w:r w:rsidRPr="00AF5CAD">
        <w:rPr>
          <w:i/>
        </w:rPr>
        <w:t>Fundamento Art</w:t>
      </w:r>
      <w:r>
        <w:rPr>
          <w:i/>
        </w:rPr>
        <w:t>ículo</w:t>
      </w:r>
      <w:r w:rsidRPr="00AF5CAD">
        <w:rPr>
          <w:i/>
        </w:rPr>
        <w:t xml:space="preserve"> </w:t>
      </w:r>
      <w:r>
        <w:rPr>
          <w:i/>
        </w:rPr>
        <w:t>8</w:t>
      </w:r>
      <w:r w:rsidRPr="00AF5CAD">
        <w:rPr>
          <w:i/>
        </w:rPr>
        <w:t xml:space="preserve"> y </w:t>
      </w:r>
      <w:r>
        <w:rPr>
          <w:i/>
        </w:rPr>
        <w:t>2</w:t>
      </w:r>
      <w:r w:rsidRPr="00AF5CAD">
        <w:rPr>
          <w:i/>
        </w:rPr>
        <w:t>1</w:t>
      </w:r>
      <w:r>
        <w:rPr>
          <w:i/>
        </w:rPr>
        <w:t xml:space="preserve"> LDF</w:t>
      </w:r>
    </w:p>
    <w:p w:rsidR="00E0751D" w:rsidRDefault="00AF5CAD" w:rsidP="00E0751D">
      <w:pPr>
        <w:spacing w:after="0" w:line="240" w:lineRule="auto"/>
      </w:pPr>
      <w:r>
        <w:rPr>
          <w:noProof/>
          <w:lang w:eastAsia="es-MX"/>
        </w:rPr>
        <w:drawing>
          <wp:inline distT="0" distB="0" distL="0" distR="0">
            <wp:extent cx="3914775" cy="81557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994622" cy="832213"/>
                    </a:xfrm>
                    <a:prstGeom prst="rect">
                      <a:avLst/>
                    </a:prstGeom>
                  </pic:spPr>
                </pic:pic>
              </a:graphicData>
            </a:graphic>
          </wp:inline>
        </w:drawing>
      </w:r>
    </w:p>
    <w:p w:rsidR="00AF5CAD" w:rsidRDefault="00AF5CAD" w:rsidP="00E0751D">
      <w:pPr>
        <w:spacing w:after="0" w:line="240" w:lineRule="auto"/>
      </w:pPr>
      <w:r>
        <w:rPr>
          <w:noProof/>
          <w:lang w:eastAsia="es-MX"/>
        </w:rPr>
        <w:drawing>
          <wp:inline distT="0" distB="0" distL="0" distR="0">
            <wp:extent cx="3819525" cy="962582"/>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850739" cy="970449"/>
                    </a:xfrm>
                    <a:prstGeom prst="rect">
                      <a:avLst/>
                    </a:prstGeom>
                  </pic:spPr>
                </pic:pic>
              </a:graphicData>
            </a:graphic>
          </wp:inline>
        </w:drawing>
      </w:r>
    </w:p>
    <w:p w:rsidR="00AF5CAD" w:rsidRDefault="00AF5CAD" w:rsidP="00E0751D">
      <w:pPr>
        <w:spacing w:after="0" w:line="240" w:lineRule="auto"/>
      </w:pPr>
    </w:p>
    <w:p w:rsidR="007370EC" w:rsidRPr="007370EC" w:rsidRDefault="00622EB9" w:rsidP="007370EC">
      <w:pPr>
        <w:spacing w:after="0" w:line="240" w:lineRule="auto"/>
        <w:jc w:val="both"/>
        <w:rPr>
          <w:color w:val="2F5496" w:themeColor="accent1" w:themeShade="BF"/>
        </w:rPr>
      </w:pPr>
      <w:r>
        <w:rPr>
          <w:color w:val="2F5496" w:themeColor="accent1" w:themeShade="BF"/>
        </w:rPr>
        <w:t>E</w:t>
      </w:r>
      <w:r w:rsidR="007370EC" w:rsidRPr="007370EC">
        <w:rPr>
          <w:color w:val="2F5496" w:themeColor="accent1" w:themeShade="BF"/>
        </w:rPr>
        <w:t xml:space="preserve">l municipio de San Felipe, conforme al pronóstico de ingresos y al presupuesto de egresos aprobado por el Ayuntamiento hasta la </w:t>
      </w:r>
      <w:r w:rsidR="00474D51">
        <w:rPr>
          <w:color w:val="2F5496" w:themeColor="accent1" w:themeShade="BF"/>
        </w:rPr>
        <w:t>séptima</w:t>
      </w:r>
      <w:r w:rsidR="007370EC" w:rsidRPr="007370EC">
        <w:rPr>
          <w:color w:val="2F5496" w:themeColor="accent1" w:themeShade="BF"/>
        </w:rPr>
        <w:t xml:space="preserve"> modificación se agrega a manera de relación las fuentes de financiamiento que soportan el gasto p</w:t>
      </w:r>
      <w:r w:rsidR="00796C25">
        <w:rPr>
          <w:color w:val="2F5496" w:themeColor="accent1" w:themeShade="BF"/>
        </w:rPr>
        <w:t>úblico, mismas que guardan el balance presupuestario positivo.</w:t>
      </w:r>
    </w:p>
    <w:p w:rsidR="007370EC" w:rsidRDefault="007370EC" w:rsidP="00E0751D">
      <w:pPr>
        <w:spacing w:after="0" w:line="240" w:lineRule="auto"/>
      </w:pPr>
    </w:p>
    <w:tbl>
      <w:tblPr>
        <w:tblW w:w="5180" w:type="dxa"/>
        <w:tblInd w:w="70" w:type="dxa"/>
        <w:tblCellMar>
          <w:left w:w="70" w:type="dxa"/>
          <w:right w:w="70" w:type="dxa"/>
        </w:tblCellMar>
        <w:tblLook w:val="04A0" w:firstRow="1" w:lastRow="0" w:firstColumn="1" w:lastColumn="0" w:noHBand="0" w:noVBand="1"/>
      </w:tblPr>
      <w:tblGrid>
        <w:gridCol w:w="5180"/>
      </w:tblGrid>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1100118  Recursos fiscales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1100119  Recursos fiscales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1500518  Participaciones federales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1500519  Participaciones federales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1600418  Convenios estatales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1600419  Convenios estatales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1700919  CONV BENEFICIARIOS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2510108  FAISM 2008</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2510118  FISM DTDF</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2510119  FISM DTDF 2019</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2510218  FORTAMUN DTDF</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2510219  FORTAMUN DTDF 2019</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2510318  FISE</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2510319  FISE 2019</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2510419  Aportaciones federal</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2520318  Convenios federales</w:t>
            </w:r>
          </w:p>
        </w:tc>
      </w:tr>
      <w:tr w:rsidR="00477C8F" w:rsidRPr="00477C8F" w:rsidTr="00477C8F">
        <w:trPr>
          <w:trHeight w:val="255"/>
        </w:trPr>
        <w:tc>
          <w:tcPr>
            <w:tcW w:w="5180" w:type="dxa"/>
            <w:tcBorders>
              <w:top w:val="nil"/>
              <w:left w:val="nil"/>
              <w:bottom w:val="nil"/>
              <w:right w:val="nil"/>
            </w:tcBorders>
            <w:shd w:val="clear" w:color="auto" w:fill="auto"/>
            <w:noWrap/>
            <w:vAlign w:val="bottom"/>
            <w:hideMark/>
          </w:tcPr>
          <w:p w:rsidR="00477C8F" w:rsidRPr="00477C8F" w:rsidRDefault="00477C8F" w:rsidP="00477C8F">
            <w:pPr>
              <w:spacing w:after="0" w:line="240" w:lineRule="auto"/>
              <w:rPr>
                <w:rFonts w:ascii="Calibri" w:eastAsia="Times New Roman" w:hAnsi="Calibri" w:cs="Times New Roman"/>
                <w:color w:val="000000"/>
                <w:sz w:val="20"/>
                <w:szCs w:val="20"/>
                <w:lang w:eastAsia="es-MX"/>
              </w:rPr>
            </w:pPr>
            <w:r w:rsidRPr="00477C8F">
              <w:rPr>
                <w:rFonts w:ascii="Calibri" w:eastAsia="Times New Roman" w:hAnsi="Calibri" w:cs="Times New Roman"/>
                <w:color w:val="000000"/>
                <w:sz w:val="20"/>
                <w:szCs w:val="20"/>
                <w:lang w:eastAsia="es-MX"/>
              </w:rPr>
              <w:t>****  2520319  Convenios federales</w:t>
            </w:r>
          </w:p>
        </w:tc>
      </w:tr>
    </w:tbl>
    <w:p w:rsidR="00AF5CAD" w:rsidRDefault="00AF5CAD" w:rsidP="00E0751D">
      <w:pPr>
        <w:spacing w:after="0" w:line="240" w:lineRule="auto"/>
      </w:pPr>
    </w:p>
    <w:p w:rsidR="0030764C" w:rsidRDefault="0030764C" w:rsidP="00E0751D">
      <w:pPr>
        <w:spacing w:after="0" w:line="240" w:lineRule="auto"/>
        <w:rPr>
          <w:b/>
        </w:rPr>
      </w:pPr>
    </w:p>
    <w:p w:rsidR="0030764C" w:rsidRDefault="0030764C" w:rsidP="00E0751D">
      <w:pPr>
        <w:spacing w:after="0" w:line="240" w:lineRule="auto"/>
        <w:rPr>
          <w:b/>
        </w:rPr>
      </w:pPr>
    </w:p>
    <w:p w:rsidR="0030764C" w:rsidRDefault="0030764C" w:rsidP="00E0751D">
      <w:pPr>
        <w:spacing w:after="0" w:line="240" w:lineRule="auto"/>
        <w:rPr>
          <w:b/>
        </w:rPr>
      </w:pPr>
    </w:p>
    <w:p w:rsidR="0030764C" w:rsidRDefault="0030764C" w:rsidP="00E0751D">
      <w:pPr>
        <w:spacing w:after="0" w:line="240" w:lineRule="auto"/>
        <w:rPr>
          <w:b/>
        </w:rPr>
      </w:pPr>
    </w:p>
    <w:p w:rsidR="00E0751D" w:rsidRPr="00E0751D" w:rsidRDefault="00E0751D" w:rsidP="00E0751D">
      <w:pPr>
        <w:spacing w:after="0" w:line="240" w:lineRule="auto"/>
        <w:rPr>
          <w:b/>
        </w:rPr>
      </w:pPr>
      <w:r w:rsidRPr="00E0751D">
        <w:rPr>
          <w:b/>
        </w:rPr>
        <w:t>3. Pasivo Circulante al Cierre del Ejercicio</w:t>
      </w:r>
    </w:p>
    <w:p w:rsidR="00E0751D" w:rsidRDefault="00D17403" w:rsidP="00E0751D">
      <w:pPr>
        <w:spacing w:after="0" w:line="240" w:lineRule="auto"/>
      </w:pPr>
      <w:r>
        <w:t xml:space="preserve">Se informará </w:t>
      </w:r>
      <w:r w:rsidR="00477C8F">
        <w:t>al 31</w:t>
      </w:r>
      <w:r w:rsidR="00E0751D">
        <w:t xml:space="preserve"> de </w:t>
      </w:r>
      <w:r w:rsidR="00477C8F">
        <w:t>Diciembre</w:t>
      </w:r>
      <w:r>
        <w:t xml:space="preserve"> 2019</w:t>
      </w:r>
    </w:p>
    <w:p w:rsidR="00FE043E" w:rsidRDefault="00FE043E" w:rsidP="00E0751D">
      <w:pPr>
        <w:spacing w:after="0" w:line="240" w:lineRule="auto"/>
      </w:pPr>
    </w:p>
    <w:p w:rsidR="00BE3C27" w:rsidRDefault="00BE3C27" w:rsidP="00E0751D">
      <w:pPr>
        <w:spacing w:after="0" w:line="240" w:lineRule="auto"/>
      </w:pPr>
    </w:p>
    <w:p w:rsidR="00AF5CAD" w:rsidRDefault="00AF5CAD" w:rsidP="00AF5CAD">
      <w:pPr>
        <w:spacing w:after="0" w:line="240" w:lineRule="auto"/>
      </w:pPr>
      <w:r w:rsidRPr="00AF5CAD">
        <w:rPr>
          <w:i/>
        </w:rPr>
        <w:t>Fundamento Art</w:t>
      </w:r>
      <w:r>
        <w:rPr>
          <w:i/>
        </w:rPr>
        <w:t>ículo</w:t>
      </w:r>
      <w:r w:rsidRPr="00AF5CAD">
        <w:rPr>
          <w:i/>
        </w:rPr>
        <w:t xml:space="preserve"> </w:t>
      </w:r>
      <w:r>
        <w:rPr>
          <w:i/>
        </w:rPr>
        <w:t>13 VII</w:t>
      </w:r>
      <w:r w:rsidRPr="00AF5CAD">
        <w:rPr>
          <w:i/>
        </w:rPr>
        <w:t xml:space="preserve"> y </w:t>
      </w:r>
      <w:r>
        <w:rPr>
          <w:i/>
        </w:rPr>
        <w:t>2</w:t>
      </w:r>
      <w:r w:rsidRPr="00AF5CAD">
        <w:rPr>
          <w:i/>
        </w:rPr>
        <w:t>1</w:t>
      </w:r>
      <w:r>
        <w:rPr>
          <w:i/>
        </w:rPr>
        <w:t xml:space="preserve"> LDF</w:t>
      </w:r>
    </w:p>
    <w:p w:rsidR="00E0751D" w:rsidRDefault="00AF5CAD" w:rsidP="00E0751D">
      <w:pPr>
        <w:spacing w:after="0" w:line="240" w:lineRule="auto"/>
      </w:pPr>
      <w:r>
        <w:rPr>
          <w:noProof/>
          <w:lang w:eastAsia="es-MX"/>
        </w:rPr>
        <w:drawing>
          <wp:inline distT="0" distB="0" distL="0" distR="0">
            <wp:extent cx="3857625" cy="22403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031867" cy="234155"/>
                    </a:xfrm>
                    <a:prstGeom prst="rect">
                      <a:avLst/>
                    </a:prstGeom>
                  </pic:spPr>
                </pic:pic>
              </a:graphicData>
            </a:graphic>
          </wp:inline>
        </w:drawing>
      </w:r>
    </w:p>
    <w:p w:rsidR="00E0751D" w:rsidRDefault="00AF5CAD" w:rsidP="00E0751D">
      <w:pPr>
        <w:spacing w:after="0" w:line="240" w:lineRule="auto"/>
      </w:pPr>
      <w:r>
        <w:rPr>
          <w:noProof/>
          <w:lang w:eastAsia="es-MX"/>
        </w:rPr>
        <w:drawing>
          <wp:inline distT="0" distB="0" distL="0" distR="0">
            <wp:extent cx="3848100" cy="496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917414" cy="505473"/>
                    </a:xfrm>
                    <a:prstGeom prst="rect">
                      <a:avLst/>
                    </a:prstGeom>
                  </pic:spPr>
                </pic:pic>
              </a:graphicData>
            </a:graphic>
          </wp:inline>
        </w:drawing>
      </w:r>
    </w:p>
    <w:p w:rsidR="00AF5CAD" w:rsidRDefault="00AF5CAD" w:rsidP="00E0751D">
      <w:pPr>
        <w:spacing w:after="0" w:line="240" w:lineRule="auto"/>
      </w:pPr>
      <w:r>
        <w:rPr>
          <w:noProof/>
          <w:lang w:eastAsia="es-MX"/>
        </w:rPr>
        <w:drawing>
          <wp:inline distT="0" distB="0" distL="0" distR="0">
            <wp:extent cx="3819525" cy="96258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850739" cy="970449"/>
                    </a:xfrm>
                    <a:prstGeom prst="rect">
                      <a:avLst/>
                    </a:prstGeom>
                  </pic:spPr>
                </pic:pic>
              </a:graphicData>
            </a:graphic>
          </wp:inline>
        </w:drawing>
      </w:r>
    </w:p>
    <w:p w:rsidR="00483349" w:rsidRPr="00756E01" w:rsidRDefault="00483349" w:rsidP="002B0FE0">
      <w:pPr>
        <w:spacing w:after="0" w:line="240" w:lineRule="auto"/>
        <w:jc w:val="both"/>
        <w:rPr>
          <w:color w:val="2F5496" w:themeColor="accent1" w:themeShade="BF"/>
        </w:rPr>
      </w:pPr>
      <w:r w:rsidRPr="00756E01">
        <w:rPr>
          <w:color w:val="2F5496" w:themeColor="accent1" w:themeShade="BF"/>
        </w:rPr>
        <w:t>El municipio de San Felipe, informa los pasivos circulantes registrados en la cuenta pública, es conveniente aclarar que el pasivo circulante que se relaciona con partidas de gasto corresponde únicamente las cuentas siguientes:</w:t>
      </w:r>
    </w:p>
    <w:p w:rsidR="00483349" w:rsidRDefault="00483349" w:rsidP="00E0751D">
      <w:pPr>
        <w:spacing w:after="0" w:line="240" w:lineRule="auto"/>
        <w:rPr>
          <w:color w:val="2F5496" w:themeColor="accent1" w:themeShade="BF"/>
        </w:rPr>
      </w:pPr>
    </w:p>
    <w:p w:rsidR="002B0FE0" w:rsidRDefault="002B0FE0" w:rsidP="00E0751D">
      <w:pPr>
        <w:spacing w:after="0" w:line="240" w:lineRule="auto"/>
        <w:rPr>
          <w:color w:val="2F5496" w:themeColor="accent1" w:themeShade="BF"/>
        </w:rPr>
      </w:pPr>
    </w:p>
    <w:tbl>
      <w:tblPr>
        <w:tblW w:w="7500" w:type="dxa"/>
        <w:tblInd w:w="70" w:type="dxa"/>
        <w:tblCellMar>
          <w:left w:w="70" w:type="dxa"/>
          <w:right w:w="70" w:type="dxa"/>
        </w:tblCellMar>
        <w:tblLook w:val="04A0" w:firstRow="1" w:lastRow="0" w:firstColumn="1" w:lastColumn="0" w:noHBand="0" w:noVBand="1"/>
      </w:tblPr>
      <w:tblGrid>
        <w:gridCol w:w="5800"/>
        <w:gridCol w:w="1700"/>
      </w:tblGrid>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b/>
                <w:bCs/>
                <w:sz w:val="16"/>
                <w:szCs w:val="16"/>
                <w:lang w:eastAsia="es-MX"/>
              </w:rPr>
            </w:pPr>
            <w:r w:rsidRPr="00477C8F">
              <w:rPr>
                <w:rFonts w:ascii="Arial" w:eastAsia="Times New Roman" w:hAnsi="Arial" w:cs="Arial"/>
                <w:b/>
                <w:bCs/>
                <w:sz w:val="16"/>
                <w:szCs w:val="16"/>
                <w:lang w:eastAsia="es-MX"/>
              </w:rPr>
              <w:t>Pasivo Circulante</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b/>
                <w:bCs/>
                <w:sz w:val="16"/>
                <w:szCs w:val="16"/>
                <w:lang w:eastAsia="es-MX"/>
              </w:rPr>
            </w:pP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Cuentas por Pagar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16,007,624.81</w:t>
            </w: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Documentos por Pagar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Porción a Corto Plazo de la Deuda Pública a Largo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Títulos y Valores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Pasivos Diferidos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r w:rsidR="00477C8F" w:rsidRPr="00477C8F" w:rsidTr="00477C8F">
        <w:trPr>
          <w:trHeight w:val="270"/>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Fondos y Bienes de Terceros en Garantía y/o Administración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Provisiones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r w:rsidR="00477C8F" w:rsidRPr="00477C8F" w:rsidTr="00477C8F">
        <w:trPr>
          <w:trHeight w:val="225"/>
        </w:trPr>
        <w:tc>
          <w:tcPr>
            <w:tcW w:w="5800" w:type="dxa"/>
            <w:tcBorders>
              <w:top w:val="nil"/>
              <w:left w:val="nil"/>
              <w:bottom w:val="nil"/>
              <w:right w:val="nil"/>
            </w:tcBorders>
            <w:shd w:val="clear" w:color="auto" w:fill="auto"/>
            <w:hideMark/>
          </w:tcPr>
          <w:p w:rsidR="00477C8F" w:rsidRPr="00477C8F" w:rsidRDefault="00477C8F" w:rsidP="00477C8F">
            <w:pPr>
              <w:spacing w:after="0" w:line="240" w:lineRule="auto"/>
              <w:rPr>
                <w:rFonts w:ascii="Arial" w:eastAsia="Times New Roman" w:hAnsi="Arial" w:cs="Arial"/>
                <w:sz w:val="16"/>
                <w:szCs w:val="16"/>
                <w:lang w:eastAsia="es-MX"/>
              </w:rPr>
            </w:pPr>
            <w:r w:rsidRPr="00477C8F">
              <w:rPr>
                <w:rFonts w:ascii="Arial" w:eastAsia="Times New Roman" w:hAnsi="Arial" w:cs="Arial"/>
                <w:sz w:val="16"/>
                <w:szCs w:val="16"/>
                <w:lang w:eastAsia="es-MX"/>
              </w:rPr>
              <w:t>Otros Pasivos a Corto Plazo</w:t>
            </w:r>
          </w:p>
        </w:tc>
        <w:tc>
          <w:tcPr>
            <w:tcW w:w="1700" w:type="dxa"/>
            <w:tcBorders>
              <w:top w:val="nil"/>
              <w:left w:val="nil"/>
              <w:bottom w:val="nil"/>
              <w:right w:val="nil"/>
            </w:tcBorders>
            <w:shd w:val="clear" w:color="auto" w:fill="auto"/>
            <w:hideMark/>
          </w:tcPr>
          <w:p w:rsidR="00477C8F" w:rsidRPr="00477C8F" w:rsidRDefault="00477C8F" w:rsidP="00477C8F">
            <w:pPr>
              <w:spacing w:after="0" w:line="240" w:lineRule="auto"/>
              <w:jc w:val="right"/>
              <w:rPr>
                <w:rFonts w:ascii="Arial" w:eastAsia="Times New Roman" w:hAnsi="Arial" w:cs="Arial"/>
                <w:sz w:val="16"/>
                <w:szCs w:val="16"/>
                <w:lang w:eastAsia="es-MX"/>
              </w:rPr>
            </w:pPr>
            <w:r w:rsidRPr="00477C8F">
              <w:rPr>
                <w:rFonts w:ascii="Arial" w:eastAsia="Times New Roman" w:hAnsi="Arial" w:cs="Arial"/>
                <w:sz w:val="16"/>
                <w:szCs w:val="16"/>
                <w:lang w:eastAsia="es-MX"/>
              </w:rPr>
              <w:t>0.00</w:t>
            </w:r>
          </w:p>
        </w:tc>
      </w:tr>
    </w:tbl>
    <w:p w:rsidR="009D09C4" w:rsidRDefault="009D09C4" w:rsidP="00E0751D">
      <w:pPr>
        <w:spacing w:after="0" w:line="240" w:lineRule="auto"/>
        <w:rPr>
          <w:color w:val="2F5496" w:themeColor="accent1" w:themeShade="BF"/>
        </w:rPr>
      </w:pPr>
    </w:p>
    <w:p w:rsidR="00AF5CAD" w:rsidRDefault="00AF5CAD" w:rsidP="00E0751D">
      <w:pPr>
        <w:spacing w:after="0" w:line="240" w:lineRule="auto"/>
      </w:pPr>
    </w:p>
    <w:p w:rsidR="00E0751D" w:rsidRPr="00E0751D" w:rsidRDefault="00E0751D" w:rsidP="00E0751D">
      <w:pPr>
        <w:spacing w:after="0" w:line="240" w:lineRule="auto"/>
        <w:rPr>
          <w:b/>
        </w:rPr>
      </w:pPr>
      <w:r w:rsidRPr="00E0751D">
        <w:rPr>
          <w:b/>
        </w:rPr>
        <w:t>4. Deuda Pública y Obligaciones</w:t>
      </w:r>
    </w:p>
    <w:p w:rsidR="00E0751D" w:rsidRDefault="00E0751D" w:rsidP="00E0751D">
      <w:pPr>
        <w:spacing w:after="0" w:line="240" w:lineRule="auto"/>
      </w:pPr>
      <w:r w:rsidRPr="00E0751D">
        <w:t>Se revelará</w:t>
      </w:r>
      <w:r>
        <w:t>:</w:t>
      </w:r>
    </w:p>
    <w:p w:rsidR="00E0751D" w:rsidRDefault="00E0751D" w:rsidP="00E0751D">
      <w:pPr>
        <w:spacing w:after="0" w:line="240" w:lineRule="auto"/>
        <w:jc w:val="both"/>
      </w:pPr>
      <w:r w:rsidRPr="00E0751D">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rsidR="00E0751D" w:rsidRDefault="00E0751D" w:rsidP="00E0751D">
      <w:pPr>
        <w:spacing w:after="0" w:line="240" w:lineRule="auto"/>
        <w:jc w:val="both"/>
      </w:pPr>
    </w:p>
    <w:p w:rsidR="00AF5CAD" w:rsidRDefault="00AF5CAD" w:rsidP="00E0751D">
      <w:pPr>
        <w:spacing w:after="0" w:line="240" w:lineRule="auto"/>
        <w:jc w:val="both"/>
        <w:rPr>
          <w:i/>
        </w:rPr>
      </w:pPr>
      <w:r w:rsidRPr="00AF5CAD">
        <w:rPr>
          <w:i/>
        </w:rPr>
        <w:t>Fundamento Art</w:t>
      </w:r>
      <w:r>
        <w:rPr>
          <w:i/>
        </w:rPr>
        <w:t>ículo</w:t>
      </w:r>
      <w:r w:rsidRPr="00AF5CAD">
        <w:rPr>
          <w:i/>
        </w:rPr>
        <w:t xml:space="preserve"> </w:t>
      </w:r>
      <w:r>
        <w:rPr>
          <w:i/>
        </w:rPr>
        <w:t>25 LDF</w:t>
      </w:r>
    </w:p>
    <w:p w:rsidR="00AF5CAD" w:rsidRDefault="00AF5CAD" w:rsidP="00E0751D">
      <w:pPr>
        <w:spacing w:after="0" w:line="240" w:lineRule="auto"/>
        <w:jc w:val="both"/>
      </w:pPr>
      <w:r>
        <w:rPr>
          <w:noProof/>
          <w:lang w:eastAsia="es-MX"/>
        </w:rPr>
        <w:drawing>
          <wp:inline distT="0" distB="0" distL="0" distR="0">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97062" cy="893833"/>
                    </a:xfrm>
                    <a:prstGeom prst="rect">
                      <a:avLst/>
                    </a:prstGeom>
                  </pic:spPr>
                </pic:pic>
              </a:graphicData>
            </a:graphic>
          </wp:inline>
        </w:drawing>
      </w:r>
    </w:p>
    <w:p w:rsidR="00AF5CAD" w:rsidRDefault="00AF5CAD" w:rsidP="00E0751D">
      <w:pPr>
        <w:spacing w:after="0" w:line="240" w:lineRule="auto"/>
        <w:jc w:val="both"/>
      </w:pPr>
    </w:p>
    <w:p w:rsidR="00483349" w:rsidRPr="007370EC" w:rsidRDefault="00483349" w:rsidP="00483349">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r>
        <w:rPr>
          <w:color w:val="2F5496" w:themeColor="accent1" w:themeShade="BF"/>
        </w:rPr>
        <w:t xml:space="preserve"> con instituciones financieras</w:t>
      </w:r>
      <w:r w:rsidRPr="007370EC">
        <w:rPr>
          <w:color w:val="2F5496" w:themeColor="accent1" w:themeShade="BF"/>
        </w:rPr>
        <w:t>.</w:t>
      </w:r>
    </w:p>
    <w:p w:rsidR="007370EC" w:rsidRDefault="007370EC" w:rsidP="00E0751D">
      <w:pPr>
        <w:spacing w:after="0" w:line="240" w:lineRule="auto"/>
        <w:jc w:val="both"/>
      </w:pPr>
    </w:p>
    <w:p w:rsidR="0030764C" w:rsidRDefault="0030764C" w:rsidP="00E0751D">
      <w:pPr>
        <w:spacing w:after="0" w:line="240" w:lineRule="auto"/>
        <w:jc w:val="both"/>
        <w:rPr>
          <w:b/>
        </w:rPr>
      </w:pPr>
    </w:p>
    <w:p w:rsidR="0030764C" w:rsidRDefault="0030764C" w:rsidP="00E0751D">
      <w:pPr>
        <w:spacing w:after="0" w:line="240" w:lineRule="auto"/>
        <w:jc w:val="both"/>
        <w:rPr>
          <w:b/>
        </w:rPr>
      </w:pPr>
    </w:p>
    <w:p w:rsidR="00E0751D" w:rsidRPr="0012031E" w:rsidRDefault="00E0751D" w:rsidP="00E0751D">
      <w:pPr>
        <w:spacing w:after="0" w:line="240" w:lineRule="auto"/>
        <w:jc w:val="both"/>
        <w:rPr>
          <w:b/>
        </w:rPr>
      </w:pPr>
      <w:r w:rsidRPr="0012031E">
        <w:rPr>
          <w:b/>
        </w:rPr>
        <w:t>5. Obligaciones a Corto Plazo</w:t>
      </w:r>
    </w:p>
    <w:p w:rsidR="00E0751D" w:rsidRDefault="00E0751D" w:rsidP="00E0751D">
      <w:pPr>
        <w:spacing w:after="0" w:line="240" w:lineRule="auto"/>
        <w:jc w:val="both"/>
      </w:pPr>
      <w:r w:rsidRPr="00E0751D">
        <w:t>Se revelará</w:t>
      </w:r>
      <w:r>
        <w:t>:</w:t>
      </w:r>
    </w:p>
    <w:p w:rsidR="00E0751D" w:rsidRDefault="00E0751D" w:rsidP="00E0751D">
      <w:pPr>
        <w:spacing w:after="0" w:line="240" w:lineRule="auto"/>
        <w:jc w:val="both"/>
      </w:pPr>
      <w:r w:rsidRPr="00E0751D">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12031E" w:rsidRDefault="0012031E" w:rsidP="00E0751D">
      <w:pPr>
        <w:spacing w:after="0" w:line="240" w:lineRule="auto"/>
        <w:jc w:val="both"/>
      </w:pPr>
    </w:p>
    <w:p w:rsidR="0012031E" w:rsidRDefault="00AF5CAD" w:rsidP="00E0751D">
      <w:pPr>
        <w:spacing w:after="0" w:line="240" w:lineRule="auto"/>
        <w:jc w:val="both"/>
      </w:pPr>
      <w:r w:rsidRPr="00AF5CAD">
        <w:rPr>
          <w:i/>
        </w:rPr>
        <w:t>Fundamento Art</w:t>
      </w:r>
      <w:r>
        <w:rPr>
          <w:i/>
        </w:rPr>
        <w:t>ículo</w:t>
      </w:r>
      <w:r w:rsidRPr="00AF5CAD">
        <w:rPr>
          <w:i/>
        </w:rPr>
        <w:t xml:space="preserve"> </w:t>
      </w:r>
      <w:r>
        <w:rPr>
          <w:i/>
        </w:rPr>
        <w:t>31 LDF</w:t>
      </w:r>
    </w:p>
    <w:p w:rsidR="00AF5CAD" w:rsidRDefault="00AF5CAD" w:rsidP="00E0751D">
      <w:pPr>
        <w:spacing w:after="0" w:line="240" w:lineRule="auto"/>
        <w:jc w:val="both"/>
      </w:pPr>
      <w:r>
        <w:rPr>
          <w:noProof/>
          <w:lang w:eastAsia="es-MX"/>
        </w:rPr>
        <w:drawing>
          <wp:inline distT="0" distB="0" distL="0" distR="0">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845422" cy="957885"/>
                    </a:xfrm>
                    <a:prstGeom prst="rect">
                      <a:avLst/>
                    </a:prstGeom>
                  </pic:spPr>
                </pic:pic>
              </a:graphicData>
            </a:graphic>
          </wp:inline>
        </w:drawing>
      </w:r>
    </w:p>
    <w:p w:rsidR="00AF5CAD" w:rsidRDefault="00AF5CAD" w:rsidP="00E0751D">
      <w:pPr>
        <w:spacing w:after="0" w:line="240" w:lineRule="auto"/>
        <w:jc w:val="both"/>
      </w:pPr>
    </w:p>
    <w:p w:rsidR="00622EB9" w:rsidRPr="007370EC" w:rsidRDefault="00622EB9" w:rsidP="00622EB9">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r>
        <w:rPr>
          <w:color w:val="2F5496" w:themeColor="accent1" w:themeShade="BF"/>
        </w:rPr>
        <w:t xml:space="preserve"> con instituciones financieras</w:t>
      </w:r>
      <w:r w:rsidRPr="007370EC">
        <w:rPr>
          <w:color w:val="2F5496" w:themeColor="accent1" w:themeShade="BF"/>
        </w:rPr>
        <w:t>.</w:t>
      </w:r>
    </w:p>
    <w:p w:rsidR="00622EB9" w:rsidRDefault="00622EB9" w:rsidP="00E0751D">
      <w:pPr>
        <w:spacing w:after="0" w:line="240" w:lineRule="auto"/>
        <w:jc w:val="both"/>
      </w:pPr>
    </w:p>
    <w:p w:rsidR="00AF5CAD" w:rsidRDefault="00AF5CAD" w:rsidP="00E0751D">
      <w:pPr>
        <w:spacing w:after="0" w:line="240" w:lineRule="auto"/>
        <w:jc w:val="both"/>
      </w:pPr>
    </w:p>
    <w:p w:rsidR="00E0751D" w:rsidRPr="0012031E" w:rsidRDefault="0012031E" w:rsidP="0012031E">
      <w:pPr>
        <w:spacing w:after="0" w:line="240" w:lineRule="auto"/>
        <w:rPr>
          <w:b/>
        </w:rPr>
      </w:pPr>
      <w:r w:rsidRPr="0012031E">
        <w:rPr>
          <w:b/>
        </w:rPr>
        <w:t>6. Evaluación de Cumplimiento</w:t>
      </w:r>
    </w:p>
    <w:p w:rsidR="0012031E" w:rsidRDefault="0012031E" w:rsidP="0012031E">
      <w:pPr>
        <w:spacing w:after="0" w:line="240" w:lineRule="auto"/>
        <w:jc w:val="both"/>
      </w:pPr>
      <w:r w:rsidRPr="00E0751D">
        <w:t>Se revelará</w:t>
      </w:r>
      <w:r>
        <w:t>:</w:t>
      </w:r>
    </w:p>
    <w:p w:rsidR="0012031E" w:rsidRDefault="0012031E" w:rsidP="0012031E">
      <w:pPr>
        <w:spacing w:after="0" w:line="240" w:lineRule="auto"/>
      </w:pPr>
      <w:r w:rsidRPr="0012031E">
        <w:t>a) La información relativa al cumplimiento de los convenios de Deuda Garantizada.</w:t>
      </w:r>
    </w:p>
    <w:p w:rsidR="00AF5CAD" w:rsidRDefault="00AF5CAD" w:rsidP="0012031E">
      <w:pPr>
        <w:spacing w:after="0" w:line="240" w:lineRule="auto"/>
      </w:pPr>
    </w:p>
    <w:p w:rsidR="00AF5CAD" w:rsidRDefault="00AF5CAD" w:rsidP="0012031E">
      <w:pPr>
        <w:spacing w:after="0" w:line="240" w:lineRule="auto"/>
        <w:rPr>
          <w:i/>
        </w:rPr>
      </w:pPr>
      <w:r w:rsidRPr="00AF5CAD">
        <w:rPr>
          <w:i/>
        </w:rPr>
        <w:t>Fundamento Art</w:t>
      </w:r>
      <w:r>
        <w:rPr>
          <w:i/>
        </w:rPr>
        <w:t>ículo</w:t>
      </w:r>
      <w:r w:rsidRPr="00AF5CAD">
        <w:rPr>
          <w:i/>
        </w:rPr>
        <w:t xml:space="preserve"> </w:t>
      </w:r>
      <w:r>
        <w:rPr>
          <w:i/>
        </w:rPr>
        <w:t>40 LDF</w:t>
      </w:r>
    </w:p>
    <w:p w:rsidR="00AF5CAD" w:rsidRDefault="00AF5CAD" w:rsidP="0012031E">
      <w:pPr>
        <w:spacing w:after="0" w:line="240" w:lineRule="auto"/>
        <w:rPr>
          <w:i/>
        </w:rPr>
      </w:pPr>
      <w:bookmarkStart w:id="0" w:name="_GoBack"/>
      <w:bookmarkEnd w:id="0"/>
      <w:r>
        <w:rPr>
          <w:noProof/>
          <w:lang w:eastAsia="es-MX"/>
        </w:rPr>
        <w:drawing>
          <wp:inline distT="0" distB="0" distL="0" distR="0">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993981" cy="1614895"/>
                    </a:xfrm>
                    <a:prstGeom prst="rect">
                      <a:avLst/>
                    </a:prstGeom>
                  </pic:spPr>
                </pic:pic>
              </a:graphicData>
            </a:graphic>
          </wp:inline>
        </w:drawing>
      </w:r>
    </w:p>
    <w:p w:rsidR="00AF5CAD" w:rsidRDefault="00AF5CAD" w:rsidP="0012031E">
      <w:pPr>
        <w:spacing w:after="0" w:line="240" w:lineRule="auto"/>
        <w:rPr>
          <w:i/>
        </w:rPr>
      </w:pPr>
    </w:p>
    <w:p w:rsidR="007370EC" w:rsidRPr="007370EC" w:rsidRDefault="007370EC" w:rsidP="007370EC">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p>
    <w:p w:rsidR="007370EC" w:rsidRDefault="007370EC" w:rsidP="0012031E">
      <w:pPr>
        <w:spacing w:after="0" w:line="240" w:lineRule="auto"/>
      </w:pPr>
    </w:p>
    <w:p w:rsidR="00BE59BF" w:rsidRDefault="00BE59BF" w:rsidP="0012031E">
      <w:pPr>
        <w:spacing w:after="0" w:line="240" w:lineRule="auto"/>
      </w:pPr>
    </w:p>
    <w:p w:rsidR="00BE59BF" w:rsidRDefault="00BE59BF" w:rsidP="0012031E">
      <w:pPr>
        <w:spacing w:after="0" w:line="240" w:lineRule="auto"/>
      </w:pPr>
    </w:p>
    <w:p w:rsidR="00BE59BF" w:rsidRPr="007370EC" w:rsidRDefault="00BE59BF" w:rsidP="0012031E">
      <w:pPr>
        <w:spacing w:after="0" w:line="240" w:lineRule="auto"/>
      </w:pPr>
    </w:p>
    <w:sectPr w:rsidR="00BE59BF" w:rsidRPr="007370EC" w:rsidSect="00E0751D">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EA" w:rsidRDefault="004C23EA" w:rsidP="0012031E">
      <w:pPr>
        <w:spacing w:after="0" w:line="240" w:lineRule="auto"/>
      </w:pPr>
      <w:r>
        <w:separator/>
      </w:r>
    </w:p>
  </w:endnote>
  <w:endnote w:type="continuationSeparator" w:id="0">
    <w:p w:rsidR="004C23EA" w:rsidRDefault="004C23EA"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438540"/>
      <w:docPartObj>
        <w:docPartGallery w:val="Page Numbers (Bottom of Page)"/>
        <w:docPartUnique/>
      </w:docPartObj>
    </w:sdtPr>
    <w:sdtEndPr/>
    <w:sdtContent>
      <w:p w:rsidR="0012031E" w:rsidRDefault="00EA40C1">
        <w:pPr>
          <w:pStyle w:val="Piedepgina"/>
          <w:jc w:val="right"/>
        </w:pPr>
        <w:r>
          <w:fldChar w:fldCharType="begin"/>
        </w:r>
        <w:r w:rsidR="0012031E">
          <w:instrText>PAGE   \* MERGEFORMAT</w:instrText>
        </w:r>
        <w:r>
          <w:fldChar w:fldCharType="separate"/>
        </w:r>
        <w:r w:rsidR="00413FA2" w:rsidRPr="00413FA2">
          <w:rPr>
            <w:noProof/>
            <w:lang w:val="es-ES"/>
          </w:rPr>
          <w:t>1</w:t>
        </w:r>
        <w:r>
          <w:fldChar w:fldCharType="end"/>
        </w:r>
      </w:p>
    </w:sdtContent>
  </w:sdt>
  <w:p w:rsidR="0012031E" w:rsidRDefault="001203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EA" w:rsidRDefault="004C23EA" w:rsidP="0012031E">
      <w:pPr>
        <w:spacing w:after="0" w:line="240" w:lineRule="auto"/>
      </w:pPr>
      <w:r>
        <w:separator/>
      </w:r>
    </w:p>
  </w:footnote>
  <w:footnote w:type="continuationSeparator" w:id="0">
    <w:p w:rsidR="004C23EA" w:rsidRDefault="004C23EA" w:rsidP="001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1E" w:rsidRDefault="00E34ACA" w:rsidP="0012031E">
    <w:pPr>
      <w:pStyle w:val="Encabezado"/>
      <w:jc w:val="center"/>
    </w:pPr>
    <w:r>
      <w:t xml:space="preserve">Municipio de San </w:t>
    </w:r>
    <w:r w:rsidR="00AA606F">
      <w:t>Felipe Gto</w:t>
    </w:r>
  </w:p>
  <w:p w:rsidR="0012031E" w:rsidRDefault="00AA606F" w:rsidP="0012031E">
    <w:pPr>
      <w:pStyle w:val="Encabezado"/>
      <w:jc w:val="center"/>
    </w:pPr>
    <w:r>
      <w:t xml:space="preserve">CORRESPONDIENTES A </w:t>
    </w:r>
    <w:r w:rsidR="00842150">
      <w:t>ENERO</w:t>
    </w:r>
    <w:r w:rsidR="0038249E">
      <w:t xml:space="preserve"> - </w:t>
    </w:r>
    <w:r w:rsidR="00477C8F">
      <w:t>DICIEMBRE</w:t>
    </w:r>
    <w:r>
      <w:t xml:space="preserve"> DEL 201</w:t>
    </w:r>
    <w:r w:rsidR="00842150">
      <w:t>9</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751D"/>
    <w:rsid w:val="00097180"/>
    <w:rsid w:val="0012031E"/>
    <w:rsid w:val="00131043"/>
    <w:rsid w:val="00195754"/>
    <w:rsid w:val="002B0FE0"/>
    <w:rsid w:val="0030764C"/>
    <w:rsid w:val="0038249E"/>
    <w:rsid w:val="00413FA2"/>
    <w:rsid w:val="00474D51"/>
    <w:rsid w:val="00477C8F"/>
    <w:rsid w:val="00483349"/>
    <w:rsid w:val="004C23EA"/>
    <w:rsid w:val="005B4237"/>
    <w:rsid w:val="00622EB9"/>
    <w:rsid w:val="006C3A31"/>
    <w:rsid w:val="00702C8B"/>
    <w:rsid w:val="007370EC"/>
    <w:rsid w:val="00756E01"/>
    <w:rsid w:val="00796C25"/>
    <w:rsid w:val="00811FDB"/>
    <w:rsid w:val="00842150"/>
    <w:rsid w:val="008F0136"/>
    <w:rsid w:val="00940570"/>
    <w:rsid w:val="009D09C4"/>
    <w:rsid w:val="00A827B2"/>
    <w:rsid w:val="00A84C91"/>
    <w:rsid w:val="00AA606F"/>
    <w:rsid w:val="00AF5CAD"/>
    <w:rsid w:val="00BC2018"/>
    <w:rsid w:val="00BE3C27"/>
    <w:rsid w:val="00BE59BF"/>
    <w:rsid w:val="00D17403"/>
    <w:rsid w:val="00DC58C8"/>
    <w:rsid w:val="00E0751D"/>
    <w:rsid w:val="00E34ACA"/>
    <w:rsid w:val="00EA40C1"/>
    <w:rsid w:val="00ED602D"/>
    <w:rsid w:val="00F413A2"/>
    <w:rsid w:val="00F9448D"/>
    <w:rsid w:val="00FE0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4FBAF6B-2A1A-4B77-86C8-E78576D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Textodeglobo">
    <w:name w:val="Balloon Text"/>
    <w:basedOn w:val="Normal"/>
    <w:link w:val="TextodegloboCar"/>
    <w:uiPriority w:val="99"/>
    <w:semiHidden/>
    <w:unhideWhenUsed/>
    <w:rsid w:val="00AA60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06F"/>
    <w:rPr>
      <w:rFonts w:ascii="Tahoma" w:hAnsi="Tahoma" w:cs="Tahoma"/>
      <w:sz w:val="16"/>
      <w:szCs w:val="16"/>
    </w:rPr>
  </w:style>
  <w:style w:type="paragraph" w:styleId="NormalWeb">
    <w:name w:val="Normal (Web)"/>
    <w:basedOn w:val="Normal"/>
    <w:uiPriority w:val="99"/>
    <w:semiHidden/>
    <w:unhideWhenUsed/>
    <w:rsid w:val="00BE59B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7987">
      <w:bodyDiv w:val="1"/>
      <w:marLeft w:val="0"/>
      <w:marRight w:val="0"/>
      <w:marTop w:val="0"/>
      <w:marBottom w:val="0"/>
      <w:divBdr>
        <w:top w:val="none" w:sz="0" w:space="0" w:color="auto"/>
        <w:left w:val="none" w:sz="0" w:space="0" w:color="auto"/>
        <w:bottom w:val="none" w:sz="0" w:space="0" w:color="auto"/>
        <w:right w:val="none" w:sz="0" w:space="0" w:color="auto"/>
      </w:divBdr>
    </w:div>
    <w:div w:id="309680308">
      <w:bodyDiv w:val="1"/>
      <w:marLeft w:val="0"/>
      <w:marRight w:val="0"/>
      <w:marTop w:val="0"/>
      <w:marBottom w:val="0"/>
      <w:divBdr>
        <w:top w:val="none" w:sz="0" w:space="0" w:color="auto"/>
        <w:left w:val="none" w:sz="0" w:space="0" w:color="auto"/>
        <w:bottom w:val="none" w:sz="0" w:space="0" w:color="auto"/>
        <w:right w:val="none" w:sz="0" w:space="0" w:color="auto"/>
      </w:divBdr>
    </w:div>
    <w:div w:id="359280895">
      <w:bodyDiv w:val="1"/>
      <w:marLeft w:val="0"/>
      <w:marRight w:val="0"/>
      <w:marTop w:val="0"/>
      <w:marBottom w:val="0"/>
      <w:divBdr>
        <w:top w:val="none" w:sz="0" w:space="0" w:color="auto"/>
        <w:left w:val="none" w:sz="0" w:space="0" w:color="auto"/>
        <w:bottom w:val="none" w:sz="0" w:space="0" w:color="auto"/>
        <w:right w:val="none" w:sz="0" w:space="0" w:color="auto"/>
      </w:divBdr>
    </w:div>
    <w:div w:id="485629418">
      <w:bodyDiv w:val="1"/>
      <w:marLeft w:val="0"/>
      <w:marRight w:val="0"/>
      <w:marTop w:val="0"/>
      <w:marBottom w:val="0"/>
      <w:divBdr>
        <w:top w:val="none" w:sz="0" w:space="0" w:color="auto"/>
        <w:left w:val="none" w:sz="0" w:space="0" w:color="auto"/>
        <w:bottom w:val="none" w:sz="0" w:space="0" w:color="auto"/>
        <w:right w:val="none" w:sz="0" w:space="0" w:color="auto"/>
      </w:divBdr>
    </w:div>
    <w:div w:id="490023615">
      <w:bodyDiv w:val="1"/>
      <w:marLeft w:val="0"/>
      <w:marRight w:val="0"/>
      <w:marTop w:val="0"/>
      <w:marBottom w:val="0"/>
      <w:divBdr>
        <w:top w:val="none" w:sz="0" w:space="0" w:color="auto"/>
        <w:left w:val="none" w:sz="0" w:space="0" w:color="auto"/>
        <w:bottom w:val="none" w:sz="0" w:space="0" w:color="auto"/>
        <w:right w:val="none" w:sz="0" w:space="0" w:color="auto"/>
      </w:divBdr>
    </w:div>
    <w:div w:id="714890056">
      <w:bodyDiv w:val="1"/>
      <w:marLeft w:val="0"/>
      <w:marRight w:val="0"/>
      <w:marTop w:val="0"/>
      <w:marBottom w:val="0"/>
      <w:divBdr>
        <w:top w:val="none" w:sz="0" w:space="0" w:color="auto"/>
        <w:left w:val="none" w:sz="0" w:space="0" w:color="auto"/>
        <w:bottom w:val="none" w:sz="0" w:space="0" w:color="auto"/>
        <w:right w:val="none" w:sz="0" w:space="0" w:color="auto"/>
      </w:divBdr>
    </w:div>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 w:id="1317762742">
      <w:bodyDiv w:val="1"/>
      <w:marLeft w:val="0"/>
      <w:marRight w:val="0"/>
      <w:marTop w:val="0"/>
      <w:marBottom w:val="0"/>
      <w:divBdr>
        <w:top w:val="none" w:sz="0" w:space="0" w:color="auto"/>
        <w:left w:val="none" w:sz="0" w:space="0" w:color="auto"/>
        <w:bottom w:val="none" w:sz="0" w:space="0" w:color="auto"/>
        <w:right w:val="none" w:sz="0" w:space="0" w:color="auto"/>
      </w:divBdr>
    </w:div>
    <w:div w:id="1377119660">
      <w:bodyDiv w:val="1"/>
      <w:marLeft w:val="0"/>
      <w:marRight w:val="0"/>
      <w:marTop w:val="0"/>
      <w:marBottom w:val="0"/>
      <w:divBdr>
        <w:top w:val="none" w:sz="0" w:space="0" w:color="auto"/>
        <w:left w:val="none" w:sz="0" w:space="0" w:color="auto"/>
        <w:bottom w:val="none" w:sz="0" w:space="0" w:color="auto"/>
        <w:right w:val="none" w:sz="0" w:space="0" w:color="auto"/>
      </w:divBdr>
    </w:div>
    <w:div w:id="1564489481">
      <w:bodyDiv w:val="1"/>
      <w:marLeft w:val="0"/>
      <w:marRight w:val="0"/>
      <w:marTop w:val="0"/>
      <w:marBottom w:val="0"/>
      <w:divBdr>
        <w:top w:val="none" w:sz="0" w:space="0" w:color="auto"/>
        <w:left w:val="none" w:sz="0" w:space="0" w:color="auto"/>
        <w:bottom w:val="none" w:sz="0" w:space="0" w:color="auto"/>
        <w:right w:val="none" w:sz="0" w:space="0" w:color="auto"/>
      </w:divBdr>
    </w:div>
    <w:div w:id="1825513425">
      <w:bodyDiv w:val="1"/>
      <w:marLeft w:val="0"/>
      <w:marRight w:val="0"/>
      <w:marTop w:val="0"/>
      <w:marBottom w:val="0"/>
      <w:divBdr>
        <w:top w:val="none" w:sz="0" w:space="0" w:color="auto"/>
        <w:left w:val="none" w:sz="0" w:space="0" w:color="auto"/>
        <w:bottom w:val="none" w:sz="0" w:space="0" w:color="auto"/>
        <w:right w:val="none" w:sz="0" w:space="0" w:color="auto"/>
      </w:divBdr>
    </w:div>
    <w:div w:id="19740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2.xml><?xml version="1.0" encoding="utf-8"?>
<ds:datastoreItem xmlns:ds="http://schemas.openxmlformats.org/officeDocument/2006/customXml" ds:itemID="{B8C86FFA-628D-4249-886A-1920884A6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C24E1-7502-469E-8422-37EF5C4D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tesoreria</cp:lastModifiedBy>
  <cp:revision>25</cp:revision>
  <cp:lastPrinted>2018-04-19T00:02:00Z</cp:lastPrinted>
  <dcterms:created xsi:type="dcterms:W3CDTF">2018-03-20T04:02:00Z</dcterms:created>
  <dcterms:modified xsi:type="dcterms:W3CDTF">2020-04-21T17:29:00Z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